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附件1：</w:t>
      </w:r>
    </w:p>
    <w:p>
      <w:pPr>
        <w:jc w:val="center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实习生教案评议标准</w:t>
      </w:r>
    </w:p>
    <w:p>
      <w:pPr>
        <w:jc w:val="center"/>
        <w:rPr>
          <w:rFonts w:hint="eastAsia" w:ascii="黑体" w:eastAsia="黑体"/>
          <w:color w:val="00000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104"/>
        <w:gridCol w:w="5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楷体_GB2312" w:eastAsia="黑体"/>
                <w:kern w:val="0"/>
              </w:rPr>
            </w:pPr>
            <w:r>
              <w:rPr>
                <w:rFonts w:hint="eastAsia" w:ascii="黑体" w:hAnsi="楷体_GB2312" w:eastAsia="黑体"/>
                <w:kern w:val="0"/>
              </w:rPr>
              <w:t>评议项目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楷体_GB2312" w:eastAsia="黑体"/>
                <w:kern w:val="0"/>
              </w:rPr>
            </w:pPr>
            <w:r>
              <w:rPr>
                <w:rFonts w:hint="eastAsia" w:ascii="黑体" w:hAnsi="楷体_GB2312" w:eastAsia="黑体"/>
                <w:kern w:val="0"/>
              </w:rPr>
              <w:t>评议要素</w:t>
            </w:r>
          </w:p>
        </w:tc>
        <w:tc>
          <w:tcPr>
            <w:tcW w:w="5541" w:type="dxa"/>
            <w:noWrap w:val="0"/>
            <w:vAlign w:val="center"/>
          </w:tcPr>
          <w:p>
            <w:pPr>
              <w:spacing w:line="360" w:lineRule="auto"/>
              <w:ind w:left="-983" w:leftChars="-468"/>
              <w:jc w:val="center"/>
              <w:rPr>
                <w:rFonts w:hint="eastAsia" w:ascii="黑体" w:hAnsi="楷体_GB2312" w:eastAsia="黑体"/>
                <w:kern w:val="0"/>
              </w:rPr>
            </w:pPr>
            <w:r>
              <w:rPr>
                <w:rFonts w:hint="eastAsia" w:ascii="黑体" w:hAnsi="楷体_GB2312" w:eastAsia="黑体"/>
                <w:kern w:val="0"/>
              </w:rPr>
              <w:t>评议标准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8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楷体_GB2312" w:eastAsia="黑体"/>
              </w:rPr>
            </w:pPr>
            <w:r>
              <w:rPr>
                <w:rFonts w:hint="eastAsia" w:ascii="黑体" w:hAnsi="楷体_GB2312" w:eastAsia="黑体"/>
              </w:rPr>
              <w:t>教学目标</w:t>
            </w:r>
          </w:p>
          <w:p>
            <w:pPr>
              <w:spacing w:line="360" w:lineRule="auto"/>
              <w:jc w:val="center"/>
              <w:rPr>
                <w:rFonts w:hint="eastAsia" w:ascii="黑体" w:hAnsi="楷体_GB2312" w:eastAsia="黑体"/>
                <w:kern w:val="0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360" w:lineRule="auto"/>
              <w:rPr>
                <w:rFonts w:hint="eastAsia" w:ascii="楷体_GB2312" w:hAnsi="楷体_GB2312" w:eastAsia="楷体_GB2312"/>
              </w:rPr>
            </w:pPr>
            <w:r>
              <w:rPr>
                <w:rFonts w:hint="eastAsia" w:ascii="楷体_GB2312" w:hAnsi="楷体_GB2312" w:eastAsia="楷体_GB2312"/>
              </w:rPr>
              <w:t>有效性</w:t>
            </w:r>
          </w:p>
        </w:tc>
        <w:tc>
          <w:tcPr>
            <w:tcW w:w="5541" w:type="dxa"/>
            <w:noWrap w:val="0"/>
            <w:vAlign w:val="top"/>
          </w:tcPr>
          <w:p>
            <w:pPr>
              <w:spacing w:line="360" w:lineRule="auto"/>
              <w:rPr>
                <w:rFonts w:hint="eastAsia" w:ascii="楷体_GB2312" w:hAnsi="楷体_GB2312" w:eastAsia="楷体_GB2312"/>
              </w:rPr>
            </w:pPr>
            <w:r>
              <w:rPr>
                <w:rFonts w:hint="eastAsia" w:ascii="楷体_GB2312" w:hAnsi="楷体_GB2312" w:eastAsia="楷体_GB2312"/>
              </w:rPr>
              <w:t>目标明确具体，符合学生认识规律，能够有效地达成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楷体_GB2312" w:eastAsia="黑体"/>
                <w:kern w:val="0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360" w:lineRule="auto"/>
              <w:rPr>
                <w:rFonts w:hint="eastAsia" w:ascii="楷体_GB2312" w:hAnsi="楷体_GB2312" w:eastAsia="楷体_GB2312"/>
              </w:rPr>
            </w:pPr>
            <w:r>
              <w:rPr>
                <w:rFonts w:hint="eastAsia" w:ascii="楷体_GB2312" w:hAnsi="楷体_GB2312" w:eastAsia="楷体_GB2312"/>
              </w:rPr>
              <w:t>清晰性</w:t>
            </w:r>
          </w:p>
        </w:tc>
        <w:tc>
          <w:tcPr>
            <w:tcW w:w="5541" w:type="dxa"/>
            <w:noWrap w:val="0"/>
            <w:vAlign w:val="top"/>
          </w:tcPr>
          <w:p>
            <w:pPr>
              <w:spacing w:line="360" w:lineRule="auto"/>
              <w:rPr>
                <w:rFonts w:hint="eastAsia" w:ascii="楷体_GB2312" w:hAnsi="楷体_GB2312" w:eastAsia="楷体_GB2312"/>
              </w:rPr>
            </w:pPr>
            <w:r>
              <w:rPr>
                <w:rFonts w:hint="eastAsia" w:ascii="楷体_GB2312" w:hAnsi="楷体_GB2312" w:eastAsia="楷体_GB2312"/>
              </w:rPr>
              <w:t>目标表述规范清晰，符合课程标准的理念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8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楷体_GB2312" w:eastAsia="黑体"/>
                <w:kern w:val="0"/>
              </w:rPr>
            </w:pPr>
            <w:r>
              <w:rPr>
                <w:rFonts w:hint="eastAsia" w:ascii="黑体" w:hAnsi="楷体_GB2312" w:eastAsia="黑体"/>
                <w:kern w:val="0"/>
              </w:rPr>
              <w:t>过程设计</w:t>
            </w:r>
          </w:p>
          <w:p>
            <w:pPr>
              <w:spacing w:line="360" w:lineRule="auto"/>
              <w:jc w:val="center"/>
              <w:rPr>
                <w:rFonts w:hint="eastAsia" w:ascii="黑体" w:hAnsi="楷体_GB2312" w:eastAsia="黑体"/>
                <w:kern w:val="0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360" w:lineRule="auto"/>
              <w:rPr>
                <w:rFonts w:hint="eastAsia" w:ascii="楷体_GB2312" w:hAnsi="楷体_GB2312" w:eastAsia="楷体_GB2312"/>
              </w:rPr>
            </w:pPr>
            <w:r>
              <w:rPr>
                <w:rFonts w:hint="eastAsia" w:ascii="楷体_GB2312" w:hAnsi="楷体_GB2312" w:eastAsia="楷体_GB2312"/>
              </w:rPr>
              <w:t>思想性</w:t>
            </w:r>
          </w:p>
        </w:tc>
        <w:tc>
          <w:tcPr>
            <w:tcW w:w="5541" w:type="dxa"/>
            <w:noWrap w:val="0"/>
            <w:vAlign w:val="top"/>
          </w:tcPr>
          <w:p>
            <w:pPr>
              <w:spacing w:line="360" w:lineRule="auto"/>
              <w:rPr>
                <w:rFonts w:hint="eastAsia" w:ascii="楷体_GB2312" w:hAnsi="楷体_GB2312" w:eastAsia="楷体_GB2312"/>
              </w:rPr>
            </w:pPr>
            <w:r>
              <w:rPr>
                <w:rFonts w:hint="eastAsia" w:ascii="楷体_GB2312" w:hAnsi="楷体_GB2312" w:eastAsia="楷体_GB2312"/>
              </w:rPr>
              <w:t>准确反映教学目标的要求，体现出先进的教学设计思想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楷体_GB2312" w:eastAsia="黑体"/>
                <w:kern w:val="0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360" w:lineRule="auto"/>
              <w:rPr>
                <w:rFonts w:hint="eastAsia" w:ascii="楷体_GB2312" w:hAnsi="楷体_GB2312" w:eastAsia="楷体_GB2312"/>
                <w:kern w:val="0"/>
              </w:rPr>
            </w:pPr>
            <w:r>
              <w:rPr>
                <w:rFonts w:hint="eastAsia" w:ascii="楷体_GB2312" w:hAnsi="楷体_GB2312" w:eastAsia="楷体_GB2312"/>
                <w:kern w:val="0"/>
              </w:rPr>
              <w:t>合理性</w:t>
            </w:r>
          </w:p>
        </w:tc>
        <w:tc>
          <w:tcPr>
            <w:tcW w:w="5541" w:type="dxa"/>
            <w:noWrap w:val="0"/>
            <w:vAlign w:val="top"/>
          </w:tcPr>
          <w:p>
            <w:pPr>
              <w:spacing w:line="360" w:lineRule="auto"/>
              <w:rPr>
                <w:rFonts w:hint="eastAsia" w:ascii="楷体_GB2312" w:hAnsi="楷体_GB2312" w:eastAsia="楷体_GB2312"/>
                <w:kern w:val="0"/>
              </w:rPr>
            </w:pPr>
            <w:r>
              <w:rPr>
                <w:rFonts w:hint="eastAsia" w:ascii="楷体_GB2312" w:hAnsi="楷体_GB2312" w:eastAsia="楷体_GB2312"/>
                <w:kern w:val="0"/>
              </w:rPr>
              <w:t>方案设想合理，时间分配合适，</w:t>
            </w:r>
            <w:r>
              <w:rPr>
                <w:rFonts w:hint="eastAsia" w:ascii="楷体_GB2312" w:hAnsi="楷体_GB2312" w:eastAsia="楷体_GB2312"/>
              </w:rPr>
              <w:t>整体脉络清晰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楷体_GB2312" w:eastAsia="黑体"/>
                <w:kern w:val="0"/>
              </w:rPr>
            </w:pPr>
          </w:p>
        </w:tc>
        <w:tc>
          <w:tcPr>
            <w:tcW w:w="110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楷体_GB2312" w:hAnsi="楷体_GB2312" w:eastAsia="楷体_GB2312"/>
              </w:rPr>
            </w:pPr>
            <w:r>
              <w:rPr>
                <w:rFonts w:hint="eastAsia" w:ascii="楷体_GB2312" w:hAnsi="楷体_GB2312" w:eastAsia="楷体_GB2312"/>
              </w:rPr>
              <w:t>建构性</w:t>
            </w:r>
          </w:p>
        </w:tc>
        <w:tc>
          <w:tcPr>
            <w:tcW w:w="554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楷体_GB2312" w:hAnsi="楷体_GB2312" w:eastAsia="楷体_GB2312"/>
              </w:rPr>
            </w:pPr>
            <w:r>
              <w:rPr>
                <w:rFonts w:hint="eastAsia" w:ascii="楷体_GB2312" w:hAnsi="楷体_GB2312" w:eastAsia="楷体_GB2312"/>
              </w:rPr>
              <w:t>激发学生学习的兴趣，</w:t>
            </w:r>
            <w:r>
              <w:rPr>
                <w:rFonts w:hint="eastAsia" w:ascii="楷体_GB2312" w:hAnsi="楷体_GB2312" w:eastAsia="楷体_GB2312"/>
                <w:kern w:val="0"/>
              </w:rPr>
              <w:t>注重知识建构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楷体_GB2312" w:eastAsia="黑体"/>
                <w:kern w:val="0"/>
              </w:rPr>
            </w:pPr>
          </w:p>
        </w:tc>
        <w:tc>
          <w:tcPr>
            <w:tcW w:w="110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楷体_GB2312" w:hAnsi="楷体_GB2312" w:eastAsia="楷体_GB2312"/>
                <w:kern w:val="0"/>
              </w:rPr>
            </w:pPr>
            <w:r>
              <w:rPr>
                <w:rFonts w:hint="eastAsia" w:ascii="楷体_GB2312" w:hAnsi="楷体_GB2312" w:eastAsia="楷体_GB2312"/>
                <w:kern w:val="0"/>
              </w:rPr>
              <w:t>创新性</w:t>
            </w:r>
          </w:p>
        </w:tc>
        <w:tc>
          <w:tcPr>
            <w:tcW w:w="554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楷体_GB2312" w:hAnsi="楷体_GB2312" w:eastAsia="楷体_GB2312"/>
                <w:kern w:val="0"/>
              </w:rPr>
            </w:pPr>
            <w:r>
              <w:rPr>
                <w:rFonts w:hint="eastAsia" w:ascii="楷体_GB2312" w:hAnsi="楷体_GB2312" w:eastAsia="楷体_GB2312"/>
                <w:kern w:val="0"/>
              </w:rPr>
              <w:t>过程安排具有创新性，有特色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8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楷体_GB2312" w:eastAsia="黑体"/>
                <w:kern w:val="0"/>
              </w:rPr>
            </w:pPr>
            <w:r>
              <w:rPr>
                <w:rFonts w:hint="eastAsia" w:ascii="黑体" w:hAnsi="楷体_GB2312" w:eastAsia="黑体"/>
                <w:kern w:val="0"/>
              </w:rPr>
              <w:t>内容组织</w:t>
            </w:r>
          </w:p>
          <w:p>
            <w:pPr>
              <w:spacing w:line="360" w:lineRule="auto"/>
              <w:jc w:val="center"/>
              <w:rPr>
                <w:rFonts w:hint="eastAsia" w:ascii="黑体" w:hAnsi="楷体_GB2312" w:eastAsia="黑体"/>
                <w:kern w:val="0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360" w:lineRule="auto"/>
              <w:rPr>
                <w:rFonts w:hint="eastAsia" w:ascii="楷体_GB2312" w:hAnsi="楷体_GB2312" w:eastAsia="楷体_GB2312"/>
                <w:kern w:val="0"/>
              </w:rPr>
            </w:pPr>
            <w:r>
              <w:rPr>
                <w:rFonts w:hint="eastAsia" w:ascii="楷体_GB2312" w:hAnsi="楷体_GB2312" w:eastAsia="楷体_GB2312"/>
                <w:kern w:val="0"/>
              </w:rPr>
              <w:t>科学性</w:t>
            </w:r>
          </w:p>
        </w:tc>
        <w:tc>
          <w:tcPr>
            <w:tcW w:w="5541" w:type="dxa"/>
            <w:noWrap w:val="0"/>
            <w:vAlign w:val="top"/>
          </w:tcPr>
          <w:p>
            <w:pPr>
              <w:spacing w:line="360" w:lineRule="auto"/>
              <w:rPr>
                <w:rFonts w:hint="eastAsia" w:ascii="楷体_GB2312" w:hAnsi="楷体_GB2312" w:eastAsia="楷体_GB2312"/>
                <w:kern w:val="0"/>
              </w:rPr>
            </w:pPr>
            <w:r>
              <w:rPr>
                <w:rFonts w:hint="eastAsia" w:ascii="楷体_GB2312" w:hAnsi="楷体_GB2312" w:eastAsia="楷体_GB2312"/>
                <w:kern w:val="0"/>
              </w:rPr>
              <w:t>注重科学性与思想性的统一，无知识性、逻辑性错误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楷体_GB2312" w:eastAsia="黑体"/>
                <w:kern w:val="0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360" w:lineRule="auto"/>
              <w:rPr>
                <w:rFonts w:hint="eastAsia" w:ascii="楷体_GB2312" w:hAnsi="楷体_GB2312" w:eastAsia="楷体_GB2312"/>
                <w:kern w:val="0"/>
              </w:rPr>
            </w:pPr>
            <w:r>
              <w:rPr>
                <w:rFonts w:hint="eastAsia" w:ascii="楷体_GB2312" w:hAnsi="楷体_GB2312" w:eastAsia="楷体_GB2312"/>
                <w:kern w:val="0"/>
              </w:rPr>
              <w:t>联系性</w:t>
            </w:r>
          </w:p>
        </w:tc>
        <w:tc>
          <w:tcPr>
            <w:tcW w:w="5541" w:type="dxa"/>
            <w:noWrap w:val="0"/>
            <w:vAlign w:val="top"/>
          </w:tcPr>
          <w:p>
            <w:pPr>
              <w:spacing w:line="360" w:lineRule="auto"/>
              <w:rPr>
                <w:rFonts w:hint="eastAsia" w:ascii="楷体_GB2312" w:hAnsi="楷体_GB2312" w:eastAsia="楷体_GB2312"/>
                <w:kern w:val="0"/>
              </w:rPr>
            </w:pPr>
            <w:r>
              <w:rPr>
                <w:rFonts w:hint="eastAsia" w:ascii="楷体_GB2312" w:hAnsi="楷体_GB2312" w:eastAsia="楷体_GB2312"/>
                <w:kern w:val="0"/>
              </w:rPr>
              <w:t>注重所学内容在学科内、外之间的联系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楷体_GB2312" w:eastAsia="黑体"/>
                <w:kern w:val="0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360" w:lineRule="auto"/>
              <w:rPr>
                <w:rFonts w:hint="eastAsia" w:ascii="楷体_GB2312" w:hAnsi="楷体_GB2312" w:eastAsia="楷体_GB2312"/>
              </w:rPr>
            </w:pPr>
            <w:r>
              <w:rPr>
                <w:rFonts w:hint="eastAsia" w:ascii="楷体_GB2312" w:hAnsi="楷体_GB2312" w:eastAsia="楷体_GB2312"/>
              </w:rPr>
              <w:t>发展性</w:t>
            </w:r>
          </w:p>
        </w:tc>
        <w:tc>
          <w:tcPr>
            <w:tcW w:w="5541" w:type="dxa"/>
            <w:noWrap w:val="0"/>
            <w:vAlign w:val="top"/>
          </w:tcPr>
          <w:p>
            <w:pPr>
              <w:spacing w:line="360" w:lineRule="auto"/>
              <w:rPr>
                <w:rFonts w:hint="eastAsia" w:ascii="楷体_GB2312" w:hAnsi="楷体_GB2312" w:eastAsia="楷体_GB2312"/>
              </w:rPr>
            </w:pPr>
            <w:r>
              <w:rPr>
                <w:rFonts w:hint="eastAsia" w:ascii="楷体_GB2312" w:hAnsi="楷体_GB2312" w:eastAsia="楷体_GB2312"/>
              </w:rPr>
              <w:t>内容选取和组织有利于巩固知识，培养能力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楷体_GB2312" w:eastAsia="黑体"/>
                <w:kern w:val="0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360" w:lineRule="auto"/>
              <w:rPr>
                <w:rFonts w:hint="eastAsia" w:ascii="楷体_GB2312" w:hAnsi="楷体_GB2312" w:eastAsia="楷体_GB2312"/>
              </w:rPr>
            </w:pPr>
            <w:r>
              <w:rPr>
                <w:rFonts w:hint="eastAsia" w:ascii="楷体_GB2312" w:hAnsi="楷体_GB2312" w:eastAsia="楷体_GB2312"/>
              </w:rPr>
              <w:t>典型性</w:t>
            </w:r>
          </w:p>
        </w:tc>
        <w:tc>
          <w:tcPr>
            <w:tcW w:w="5541" w:type="dxa"/>
            <w:noWrap w:val="0"/>
            <w:vAlign w:val="top"/>
          </w:tcPr>
          <w:p>
            <w:pPr>
              <w:spacing w:line="360" w:lineRule="auto"/>
              <w:rPr>
                <w:rFonts w:hint="eastAsia" w:ascii="楷体_GB2312" w:hAnsi="楷体_GB2312" w:eastAsia="楷体_GB2312"/>
              </w:rPr>
            </w:pPr>
            <w:r>
              <w:rPr>
                <w:rFonts w:hint="eastAsia" w:ascii="楷体_GB2312" w:hAnsi="楷体_GB2312" w:eastAsia="楷体_GB2312"/>
              </w:rPr>
              <w:t>课堂容量适当，例题或任务具有代表性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8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楷体_GB2312" w:eastAsia="黑体"/>
                <w:kern w:val="0"/>
              </w:rPr>
            </w:pPr>
            <w:r>
              <w:rPr>
                <w:rFonts w:hint="eastAsia" w:ascii="黑体" w:hAnsi="楷体_GB2312" w:eastAsia="黑体"/>
                <w:kern w:val="0"/>
              </w:rPr>
              <w:t>教学方法</w:t>
            </w:r>
          </w:p>
          <w:p>
            <w:pPr>
              <w:spacing w:line="360" w:lineRule="auto"/>
              <w:jc w:val="center"/>
              <w:rPr>
                <w:rFonts w:hint="eastAsia" w:ascii="黑体" w:hAnsi="楷体_GB2312" w:eastAsia="黑体"/>
                <w:kern w:val="0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360" w:lineRule="auto"/>
              <w:rPr>
                <w:rFonts w:hint="eastAsia" w:ascii="楷体_GB2312" w:hAnsi="楷体_GB2312" w:eastAsia="楷体_GB2312"/>
              </w:rPr>
            </w:pPr>
            <w:r>
              <w:rPr>
                <w:rFonts w:hint="eastAsia" w:ascii="楷体_GB2312" w:hAnsi="楷体_GB2312" w:eastAsia="楷体_GB2312"/>
              </w:rPr>
              <w:t>指引性</w:t>
            </w:r>
          </w:p>
        </w:tc>
        <w:tc>
          <w:tcPr>
            <w:tcW w:w="5541" w:type="dxa"/>
            <w:noWrap w:val="0"/>
            <w:vAlign w:val="top"/>
          </w:tcPr>
          <w:p>
            <w:pPr>
              <w:spacing w:line="360" w:lineRule="auto"/>
              <w:rPr>
                <w:rFonts w:hint="eastAsia" w:ascii="楷体_GB2312" w:hAnsi="楷体_GB2312" w:eastAsia="楷体_GB2312"/>
              </w:rPr>
            </w:pPr>
            <w:r>
              <w:rPr>
                <w:rFonts w:hint="eastAsia" w:ascii="楷体_GB2312" w:hAnsi="楷体_GB2312" w:eastAsia="楷体_GB2312"/>
              </w:rPr>
              <w:t>注重学法指导，帮助学生理解学科的本质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楷体_GB2312" w:eastAsia="黑体"/>
                <w:kern w:val="0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360" w:lineRule="auto"/>
              <w:rPr>
                <w:rFonts w:hint="eastAsia" w:ascii="楷体_GB2312" w:hAnsi="楷体_GB2312" w:eastAsia="楷体_GB2312"/>
                <w:kern w:val="0"/>
              </w:rPr>
            </w:pPr>
            <w:r>
              <w:rPr>
                <w:rFonts w:hint="eastAsia" w:ascii="楷体_GB2312" w:hAnsi="楷体_GB2312" w:eastAsia="楷体_GB2312"/>
                <w:kern w:val="0"/>
              </w:rPr>
              <w:t>针对性</w:t>
            </w:r>
          </w:p>
        </w:tc>
        <w:tc>
          <w:tcPr>
            <w:tcW w:w="5541" w:type="dxa"/>
            <w:noWrap w:val="0"/>
            <w:vAlign w:val="top"/>
          </w:tcPr>
          <w:p>
            <w:pPr>
              <w:spacing w:line="360" w:lineRule="auto"/>
              <w:rPr>
                <w:rFonts w:hint="eastAsia" w:ascii="楷体_GB2312" w:hAnsi="楷体_GB2312" w:eastAsia="楷体_GB2312"/>
                <w:kern w:val="0"/>
              </w:rPr>
            </w:pPr>
            <w:r>
              <w:rPr>
                <w:rFonts w:hint="eastAsia" w:ascii="楷体_GB2312" w:hAnsi="楷体_GB2312" w:eastAsia="楷体_GB2312"/>
                <w:kern w:val="0"/>
              </w:rPr>
              <w:t>对教学重点与难点有针对性的措施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楷体_GB2312" w:eastAsia="黑体"/>
                <w:kern w:val="0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360" w:lineRule="auto"/>
              <w:rPr>
                <w:rFonts w:hint="eastAsia" w:ascii="楷体_GB2312" w:hAnsi="楷体_GB2312" w:eastAsia="楷体_GB2312"/>
                <w:kern w:val="0"/>
              </w:rPr>
            </w:pPr>
            <w:r>
              <w:rPr>
                <w:rFonts w:hint="eastAsia" w:ascii="楷体_GB2312" w:hAnsi="楷体_GB2312" w:eastAsia="楷体_GB2312"/>
                <w:kern w:val="0"/>
              </w:rPr>
              <w:t>启发性</w:t>
            </w:r>
          </w:p>
        </w:tc>
        <w:tc>
          <w:tcPr>
            <w:tcW w:w="5541" w:type="dxa"/>
            <w:noWrap w:val="0"/>
            <w:vAlign w:val="top"/>
          </w:tcPr>
          <w:p>
            <w:pPr>
              <w:spacing w:line="360" w:lineRule="auto"/>
              <w:rPr>
                <w:rFonts w:hint="eastAsia" w:ascii="楷体_GB2312" w:hAnsi="楷体_GB2312" w:eastAsia="楷体_GB2312"/>
                <w:kern w:val="0"/>
              </w:rPr>
            </w:pPr>
            <w:r>
              <w:rPr>
                <w:rFonts w:hint="eastAsia" w:ascii="楷体_GB2312" w:hAnsi="楷体_GB2312" w:eastAsia="楷体_GB2312"/>
                <w:kern w:val="0"/>
              </w:rPr>
              <w:t>引导学生积极参与学习过程，启发学生思维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8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楷体_GB2312" w:eastAsia="黑体"/>
                <w:kern w:val="0"/>
              </w:rPr>
            </w:pPr>
            <w:r>
              <w:rPr>
                <w:rFonts w:hint="eastAsia" w:ascii="黑体" w:hAnsi="楷体_GB2312" w:eastAsia="黑体"/>
                <w:kern w:val="0"/>
              </w:rPr>
              <w:t>综合评价</w:t>
            </w:r>
          </w:p>
          <w:p>
            <w:pPr>
              <w:spacing w:line="360" w:lineRule="auto"/>
              <w:jc w:val="center"/>
              <w:rPr>
                <w:rFonts w:hint="eastAsia" w:ascii="黑体" w:hAnsi="楷体_GB2312" w:eastAsia="黑体"/>
                <w:kern w:val="0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360" w:lineRule="auto"/>
              <w:rPr>
                <w:rFonts w:hint="eastAsia" w:ascii="楷体_GB2312" w:hAnsi="楷体_GB2312" w:eastAsia="楷体_GB2312"/>
                <w:kern w:val="0"/>
              </w:rPr>
            </w:pPr>
            <w:r>
              <w:rPr>
                <w:rFonts w:hint="eastAsia" w:ascii="楷体_GB2312" w:hAnsi="楷体_GB2312" w:eastAsia="楷体_GB2312"/>
                <w:kern w:val="0"/>
              </w:rPr>
              <w:t>专业性</w:t>
            </w:r>
          </w:p>
        </w:tc>
        <w:tc>
          <w:tcPr>
            <w:tcW w:w="5541" w:type="dxa"/>
            <w:noWrap w:val="0"/>
            <w:vAlign w:val="top"/>
          </w:tcPr>
          <w:p>
            <w:pPr>
              <w:spacing w:line="360" w:lineRule="auto"/>
              <w:rPr>
                <w:rFonts w:hint="eastAsia" w:ascii="楷体_GB2312" w:hAnsi="楷体_GB2312" w:eastAsia="楷体_GB2312"/>
                <w:kern w:val="0"/>
              </w:rPr>
            </w:pPr>
            <w:r>
              <w:rPr>
                <w:rFonts w:hint="eastAsia" w:ascii="楷体_GB2312" w:hAnsi="楷体_GB2312" w:eastAsia="楷体_GB2312"/>
                <w:kern w:val="0"/>
              </w:rPr>
              <w:t>学科专业基础知识扎实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楷体_GB2312" w:eastAsia="楷体_GB2312"/>
                <w:kern w:val="0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360" w:lineRule="auto"/>
              <w:rPr>
                <w:rFonts w:hint="eastAsia" w:ascii="楷体_GB2312" w:hAnsi="楷体_GB2312" w:eastAsia="楷体_GB2312"/>
                <w:kern w:val="0"/>
              </w:rPr>
            </w:pPr>
            <w:r>
              <w:rPr>
                <w:rFonts w:hint="eastAsia" w:ascii="楷体_GB2312" w:hAnsi="楷体_GB2312" w:eastAsia="楷体_GB2312"/>
                <w:kern w:val="0"/>
              </w:rPr>
              <w:t>综合性</w:t>
            </w:r>
          </w:p>
        </w:tc>
        <w:tc>
          <w:tcPr>
            <w:tcW w:w="5541" w:type="dxa"/>
            <w:noWrap w:val="0"/>
            <w:vAlign w:val="top"/>
          </w:tcPr>
          <w:p>
            <w:pPr>
              <w:spacing w:line="360" w:lineRule="auto"/>
              <w:rPr>
                <w:rFonts w:hint="eastAsia" w:ascii="楷体_GB2312" w:hAnsi="楷体_GB2312" w:eastAsia="楷体_GB2312"/>
                <w:kern w:val="0"/>
              </w:rPr>
            </w:pPr>
            <w:r>
              <w:rPr>
                <w:rFonts w:hint="eastAsia" w:ascii="楷体_GB2312" w:hAnsi="楷体_GB2312" w:eastAsia="楷体_GB2312"/>
                <w:kern w:val="0"/>
              </w:rPr>
              <w:t>能综合运用教育学、心理学、学科教学的基本理论与方法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楷体_GB2312" w:eastAsia="楷体_GB2312"/>
                <w:kern w:val="0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spacing w:line="360" w:lineRule="auto"/>
              <w:rPr>
                <w:rFonts w:hint="eastAsia" w:ascii="楷体_GB2312" w:hAnsi="楷体_GB2312" w:eastAsia="楷体_GB2312"/>
              </w:rPr>
            </w:pPr>
            <w:r>
              <w:rPr>
                <w:rFonts w:hint="eastAsia" w:ascii="楷体_GB2312" w:hAnsi="楷体_GB2312" w:eastAsia="楷体_GB2312"/>
              </w:rPr>
              <w:t>规范性</w:t>
            </w:r>
          </w:p>
        </w:tc>
        <w:tc>
          <w:tcPr>
            <w:tcW w:w="5541" w:type="dxa"/>
            <w:noWrap w:val="0"/>
            <w:vAlign w:val="top"/>
          </w:tcPr>
          <w:p>
            <w:pPr>
              <w:spacing w:line="360" w:lineRule="auto"/>
              <w:rPr>
                <w:rFonts w:hint="eastAsia" w:ascii="楷体_GB2312" w:hAnsi="楷体_GB2312" w:eastAsia="楷体_GB2312"/>
              </w:rPr>
            </w:pPr>
            <w:r>
              <w:rPr>
                <w:rFonts w:hint="eastAsia" w:ascii="楷体_GB2312" w:hAnsi="楷体_GB2312" w:eastAsia="楷体_GB2312"/>
              </w:rPr>
              <w:t>图表、仪器等使用</w:t>
            </w:r>
            <w:r>
              <w:rPr>
                <w:rFonts w:hint="eastAsia" w:ascii="楷体_GB2312" w:hAnsi="楷体_GB2312" w:eastAsia="楷体_GB2312"/>
                <w:kern w:val="0"/>
              </w:rPr>
              <w:t>规范，与信息技术整合效果理想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ODkzMjdmOGRlYWU4MTkwMDUyYTQ5ODA3NThiYzQifQ=="/>
  </w:docVars>
  <w:rsids>
    <w:rsidRoot w:val="62821CAD"/>
    <w:rsid w:val="6282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2022-06-02T07:55:00Z</dcterms:created>
  <dc:creator>文档存本地丢失不负责</dc:creator>
  <cp:lastModifiedBy>文档存本地丢失不负责</cp:lastModifiedBy>
  <dcterms:modified xsi:type="dcterms:W3CDTF">2022-06-02T07:57:42Z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3BE98F6665074667BB8745DD08C075A5</vt:lpwstr>
  </property>
</Properties>
</file>