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附件1：</w:t>
      </w:r>
    </w:p>
    <w:p>
      <w:pPr>
        <w:jc w:val="center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实习生教案评议标准</w:t>
      </w:r>
    </w:p>
    <w:p>
      <w:pPr>
        <w:jc w:val="center"/>
        <w:rPr>
          <w:rFonts w:hint="eastAsia" w:ascii="黑体" w:eastAsia="黑体"/>
          <w:color w:val="00000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104"/>
        <w:gridCol w:w="5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8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楷体_GB2312" w:eastAsia="黑体"/>
                <w:kern w:val="0"/>
              </w:rPr>
            </w:pPr>
            <w:r>
              <w:rPr>
                <w:rFonts w:hint="eastAsia" w:ascii="黑体" w:hAnsi="楷体_GB2312" w:eastAsia="黑体"/>
                <w:kern w:val="0"/>
              </w:rPr>
              <w:t>评议项目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楷体_GB2312" w:eastAsia="黑体"/>
                <w:kern w:val="0"/>
              </w:rPr>
            </w:pPr>
            <w:r>
              <w:rPr>
                <w:rFonts w:hint="eastAsia" w:ascii="黑体" w:hAnsi="楷体_GB2312" w:eastAsia="黑体"/>
                <w:kern w:val="0"/>
              </w:rPr>
              <w:t>评议要素</w:t>
            </w:r>
          </w:p>
        </w:tc>
        <w:tc>
          <w:tcPr>
            <w:tcW w:w="5541" w:type="dxa"/>
            <w:noWrap w:val="0"/>
            <w:vAlign w:val="center"/>
          </w:tcPr>
          <w:p>
            <w:pPr>
              <w:spacing w:line="360" w:lineRule="auto"/>
              <w:ind w:left="-983" w:leftChars="-468"/>
              <w:jc w:val="center"/>
              <w:rPr>
                <w:rFonts w:hint="eastAsia" w:ascii="黑体" w:hAnsi="楷体_GB2312" w:eastAsia="黑体"/>
                <w:kern w:val="0"/>
              </w:rPr>
            </w:pPr>
            <w:r>
              <w:rPr>
                <w:rFonts w:hint="eastAsia" w:ascii="黑体" w:hAnsi="楷体_GB2312" w:eastAsia="黑体"/>
                <w:kern w:val="0"/>
              </w:rPr>
              <w:t>评议标准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8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楷体_GB2312" w:eastAsia="黑体"/>
              </w:rPr>
            </w:pPr>
            <w:r>
              <w:rPr>
                <w:rFonts w:hint="eastAsia" w:ascii="黑体" w:hAnsi="楷体_GB2312" w:eastAsia="黑体"/>
              </w:rPr>
              <w:t>教学目标</w:t>
            </w:r>
          </w:p>
          <w:p>
            <w:pPr>
              <w:spacing w:line="360" w:lineRule="auto"/>
              <w:jc w:val="center"/>
              <w:rPr>
                <w:rFonts w:hint="eastAsia" w:ascii="黑体" w:hAnsi="楷体_GB2312" w:eastAsia="黑体"/>
                <w:kern w:val="0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有效性</w:t>
            </w:r>
          </w:p>
        </w:tc>
        <w:tc>
          <w:tcPr>
            <w:tcW w:w="5541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目标明确具体，符合学生认识规律，能够有效地达成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楷体_GB2312" w:eastAsia="黑体"/>
                <w:kern w:val="0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清晰性</w:t>
            </w:r>
          </w:p>
        </w:tc>
        <w:tc>
          <w:tcPr>
            <w:tcW w:w="5541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目标表述规范清晰，符合课程标准的理念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8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楷体_GB2312" w:eastAsia="黑体"/>
                <w:kern w:val="0"/>
              </w:rPr>
            </w:pPr>
            <w:r>
              <w:rPr>
                <w:rFonts w:hint="eastAsia" w:ascii="黑体" w:hAnsi="楷体_GB2312" w:eastAsia="黑体"/>
                <w:kern w:val="0"/>
              </w:rPr>
              <w:t>过程设计</w:t>
            </w:r>
          </w:p>
          <w:p>
            <w:pPr>
              <w:spacing w:line="360" w:lineRule="auto"/>
              <w:jc w:val="center"/>
              <w:rPr>
                <w:rFonts w:hint="eastAsia" w:ascii="黑体" w:hAnsi="楷体_GB2312" w:eastAsia="黑体"/>
                <w:kern w:val="0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思想性</w:t>
            </w:r>
          </w:p>
        </w:tc>
        <w:tc>
          <w:tcPr>
            <w:tcW w:w="5541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准确反映教学目标的要求，体现出先进的教学设计思想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楷体_GB2312" w:eastAsia="黑体"/>
                <w:kern w:val="0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_GB2312" w:hAnsi="楷体_GB2312" w:eastAsia="楷体_GB2312"/>
                <w:kern w:val="0"/>
              </w:rPr>
            </w:pPr>
            <w:r>
              <w:rPr>
                <w:rFonts w:hint="eastAsia" w:ascii="楷体_GB2312" w:hAnsi="楷体_GB2312" w:eastAsia="楷体_GB2312"/>
                <w:kern w:val="0"/>
              </w:rPr>
              <w:t>合理性</w:t>
            </w:r>
          </w:p>
        </w:tc>
        <w:tc>
          <w:tcPr>
            <w:tcW w:w="5541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_GB2312" w:hAnsi="楷体_GB2312" w:eastAsia="楷体_GB2312"/>
                <w:kern w:val="0"/>
              </w:rPr>
            </w:pPr>
            <w:r>
              <w:rPr>
                <w:rFonts w:hint="eastAsia" w:ascii="楷体_GB2312" w:hAnsi="楷体_GB2312" w:eastAsia="楷体_GB2312"/>
                <w:kern w:val="0"/>
              </w:rPr>
              <w:t>方案设想合理，时间分配合适，</w:t>
            </w:r>
            <w:r>
              <w:rPr>
                <w:rFonts w:hint="eastAsia" w:ascii="楷体_GB2312" w:hAnsi="楷体_GB2312" w:eastAsia="楷体_GB2312"/>
              </w:rPr>
              <w:t>整体脉络清晰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楷体_GB2312" w:eastAsia="黑体"/>
                <w:kern w:val="0"/>
              </w:rPr>
            </w:pPr>
          </w:p>
        </w:tc>
        <w:tc>
          <w:tcPr>
            <w:tcW w:w="110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建构性</w:t>
            </w:r>
          </w:p>
        </w:tc>
        <w:tc>
          <w:tcPr>
            <w:tcW w:w="554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激发学生学习的兴趣，</w:t>
            </w:r>
            <w:r>
              <w:rPr>
                <w:rFonts w:hint="eastAsia" w:ascii="楷体_GB2312" w:hAnsi="楷体_GB2312" w:eastAsia="楷体_GB2312"/>
                <w:kern w:val="0"/>
              </w:rPr>
              <w:t>注重知识建构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楷体_GB2312" w:eastAsia="黑体"/>
                <w:kern w:val="0"/>
              </w:rPr>
            </w:pPr>
          </w:p>
        </w:tc>
        <w:tc>
          <w:tcPr>
            <w:tcW w:w="110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楷体_GB2312" w:hAnsi="楷体_GB2312" w:eastAsia="楷体_GB2312"/>
                <w:kern w:val="0"/>
              </w:rPr>
            </w:pPr>
            <w:r>
              <w:rPr>
                <w:rFonts w:hint="eastAsia" w:ascii="楷体_GB2312" w:hAnsi="楷体_GB2312" w:eastAsia="楷体_GB2312"/>
                <w:kern w:val="0"/>
              </w:rPr>
              <w:t>创新性</w:t>
            </w:r>
          </w:p>
        </w:tc>
        <w:tc>
          <w:tcPr>
            <w:tcW w:w="554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楷体_GB2312" w:hAnsi="楷体_GB2312" w:eastAsia="楷体_GB2312"/>
                <w:kern w:val="0"/>
              </w:rPr>
            </w:pPr>
            <w:r>
              <w:rPr>
                <w:rFonts w:hint="eastAsia" w:ascii="楷体_GB2312" w:hAnsi="楷体_GB2312" w:eastAsia="楷体_GB2312"/>
                <w:kern w:val="0"/>
              </w:rPr>
              <w:t>过程安排具有创新性，有特色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8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楷体_GB2312" w:eastAsia="黑体"/>
                <w:kern w:val="0"/>
              </w:rPr>
            </w:pPr>
            <w:r>
              <w:rPr>
                <w:rFonts w:hint="eastAsia" w:ascii="黑体" w:hAnsi="楷体_GB2312" w:eastAsia="黑体"/>
                <w:kern w:val="0"/>
              </w:rPr>
              <w:t>内容组织</w:t>
            </w:r>
          </w:p>
          <w:p>
            <w:pPr>
              <w:spacing w:line="360" w:lineRule="auto"/>
              <w:jc w:val="center"/>
              <w:rPr>
                <w:rFonts w:hint="eastAsia" w:ascii="黑体" w:hAnsi="楷体_GB2312" w:eastAsia="黑体"/>
                <w:kern w:val="0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_GB2312" w:hAnsi="楷体_GB2312" w:eastAsia="楷体_GB2312"/>
                <w:kern w:val="0"/>
              </w:rPr>
            </w:pPr>
            <w:r>
              <w:rPr>
                <w:rFonts w:hint="eastAsia" w:ascii="楷体_GB2312" w:hAnsi="楷体_GB2312" w:eastAsia="楷体_GB2312"/>
                <w:kern w:val="0"/>
              </w:rPr>
              <w:t>科学性</w:t>
            </w:r>
          </w:p>
        </w:tc>
        <w:tc>
          <w:tcPr>
            <w:tcW w:w="5541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_GB2312" w:hAnsi="楷体_GB2312" w:eastAsia="楷体_GB2312"/>
                <w:kern w:val="0"/>
              </w:rPr>
            </w:pPr>
            <w:r>
              <w:rPr>
                <w:rFonts w:hint="eastAsia" w:ascii="楷体_GB2312" w:hAnsi="楷体_GB2312" w:eastAsia="楷体_GB2312"/>
                <w:kern w:val="0"/>
              </w:rPr>
              <w:t>注重科学性与思想性的统一，无知识性、逻辑性错误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楷体_GB2312" w:eastAsia="黑体"/>
                <w:kern w:val="0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_GB2312" w:hAnsi="楷体_GB2312" w:eastAsia="楷体_GB2312"/>
                <w:kern w:val="0"/>
              </w:rPr>
            </w:pPr>
            <w:r>
              <w:rPr>
                <w:rFonts w:hint="eastAsia" w:ascii="楷体_GB2312" w:hAnsi="楷体_GB2312" w:eastAsia="楷体_GB2312"/>
                <w:kern w:val="0"/>
              </w:rPr>
              <w:t>联系性</w:t>
            </w:r>
          </w:p>
        </w:tc>
        <w:tc>
          <w:tcPr>
            <w:tcW w:w="5541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_GB2312" w:hAnsi="楷体_GB2312" w:eastAsia="楷体_GB2312"/>
                <w:kern w:val="0"/>
              </w:rPr>
            </w:pPr>
            <w:r>
              <w:rPr>
                <w:rFonts w:hint="eastAsia" w:ascii="楷体_GB2312" w:hAnsi="楷体_GB2312" w:eastAsia="楷体_GB2312"/>
                <w:kern w:val="0"/>
              </w:rPr>
              <w:t>注重所学内容在学科内、外之间的联系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楷体_GB2312" w:eastAsia="黑体"/>
                <w:kern w:val="0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发展性</w:t>
            </w:r>
          </w:p>
        </w:tc>
        <w:tc>
          <w:tcPr>
            <w:tcW w:w="5541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内容选取和组织有利于巩固知识，培养能力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楷体_GB2312" w:eastAsia="黑体"/>
                <w:kern w:val="0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典型性</w:t>
            </w:r>
          </w:p>
        </w:tc>
        <w:tc>
          <w:tcPr>
            <w:tcW w:w="5541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课堂容量适当，例题或任务具有代表性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8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楷体_GB2312" w:eastAsia="黑体"/>
                <w:kern w:val="0"/>
              </w:rPr>
            </w:pPr>
            <w:r>
              <w:rPr>
                <w:rFonts w:hint="eastAsia" w:ascii="黑体" w:hAnsi="楷体_GB2312" w:eastAsia="黑体"/>
                <w:kern w:val="0"/>
              </w:rPr>
              <w:t>教学方法</w:t>
            </w:r>
          </w:p>
          <w:p>
            <w:pPr>
              <w:spacing w:line="360" w:lineRule="auto"/>
              <w:jc w:val="center"/>
              <w:rPr>
                <w:rFonts w:hint="eastAsia" w:ascii="黑体" w:hAnsi="楷体_GB2312" w:eastAsia="黑体"/>
                <w:kern w:val="0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指引性</w:t>
            </w:r>
          </w:p>
        </w:tc>
        <w:tc>
          <w:tcPr>
            <w:tcW w:w="5541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注重学法指导，帮助学生理解学科的本质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楷体_GB2312" w:eastAsia="黑体"/>
                <w:kern w:val="0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_GB2312" w:hAnsi="楷体_GB2312" w:eastAsia="楷体_GB2312"/>
                <w:kern w:val="0"/>
              </w:rPr>
            </w:pPr>
            <w:r>
              <w:rPr>
                <w:rFonts w:hint="eastAsia" w:ascii="楷体_GB2312" w:hAnsi="楷体_GB2312" w:eastAsia="楷体_GB2312"/>
                <w:kern w:val="0"/>
              </w:rPr>
              <w:t>针对性</w:t>
            </w:r>
          </w:p>
        </w:tc>
        <w:tc>
          <w:tcPr>
            <w:tcW w:w="5541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_GB2312" w:hAnsi="楷体_GB2312" w:eastAsia="楷体_GB2312"/>
                <w:kern w:val="0"/>
              </w:rPr>
            </w:pPr>
            <w:r>
              <w:rPr>
                <w:rFonts w:hint="eastAsia" w:ascii="楷体_GB2312" w:hAnsi="楷体_GB2312" w:eastAsia="楷体_GB2312"/>
                <w:kern w:val="0"/>
              </w:rPr>
              <w:t>对教学重点与难点有针对性的措施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楷体_GB2312" w:eastAsia="黑体"/>
                <w:kern w:val="0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_GB2312" w:hAnsi="楷体_GB2312" w:eastAsia="楷体_GB2312"/>
                <w:kern w:val="0"/>
              </w:rPr>
            </w:pPr>
            <w:r>
              <w:rPr>
                <w:rFonts w:hint="eastAsia" w:ascii="楷体_GB2312" w:hAnsi="楷体_GB2312" w:eastAsia="楷体_GB2312"/>
                <w:kern w:val="0"/>
              </w:rPr>
              <w:t>启发性</w:t>
            </w:r>
          </w:p>
        </w:tc>
        <w:tc>
          <w:tcPr>
            <w:tcW w:w="5541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_GB2312" w:hAnsi="楷体_GB2312" w:eastAsia="楷体_GB2312"/>
                <w:kern w:val="0"/>
              </w:rPr>
            </w:pPr>
            <w:r>
              <w:rPr>
                <w:rFonts w:hint="eastAsia" w:ascii="楷体_GB2312" w:hAnsi="楷体_GB2312" w:eastAsia="楷体_GB2312"/>
                <w:kern w:val="0"/>
              </w:rPr>
              <w:t>引导学生积极参与学习过程，启发学生思维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8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楷体_GB2312" w:eastAsia="黑体"/>
                <w:kern w:val="0"/>
              </w:rPr>
            </w:pPr>
            <w:r>
              <w:rPr>
                <w:rFonts w:hint="eastAsia" w:ascii="黑体" w:hAnsi="楷体_GB2312" w:eastAsia="黑体"/>
                <w:kern w:val="0"/>
              </w:rPr>
              <w:t>综合评价</w:t>
            </w:r>
          </w:p>
          <w:p>
            <w:pPr>
              <w:spacing w:line="360" w:lineRule="auto"/>
              <w:jc w:val="center"/>
              <w:rPr>
                <w:rFonts w:hint="eastAsia" w:ascii="黑体" w:hAnsi="楷体_GB2312" w:eastAsia="黑体"/>
                <w:kern w:val="0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_GB2312" w:hAnsi="楷体_GB2312" w:eastAsia="楷体_GB2312"/>
                <w:kern w:val="0"/>
              </w:rPr>
            </w:pPr>
            <w:r>
              <w:rPr>
                <w:rFonts w:hint="eastAsia" w:ascii="楷体_GB2312" w:hAnsi="楷体_GB2312" w:eastAsia="楷体_GB2312"/>
                <w:kern w:val="0"/>
              </w:rPr>
              <w:t>专业性</w:t>
            </w:r>
          </w:p>
        </w:tc>
        <w:tc>
          <w:tcPr>
            <w:tcW w:w="5541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_GB2312" w:hAnsi="楷体_GB2312" w:eastAsia="楷体_GB2312"/>
                <w:kern w:val="0"/>
              </w:rPr>
            </w:pPr>
            <w:r>
              <w:rPr>
                <w:rFonts w:hint="eastAsia" w:ascii="楷体_GB2312" w:hAnsi="楷体_GB2312" w:eastAsia="楷体_GB2312"/>
                <w:kern w:val="0"/>
              </w:rPr>
              <w:t>学科专业基础知识扎实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楷体_GB2312" w:eastAsia="楷体_GB2312"/>
                <w:kern w:val="0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_GB2312" w:hAnsi="楷体_GB2312" w:eastAsia="楷体_GB2312"/>
                <w:kern w:val="0"/>
              </w:rPr>
            </w:pPr>
            <w:r>
              <w:rPr>
                <w:rFonts w:hint="eastAsia" w:ascii="楷体_GB2312" w:hAnsi="楷体_GB2312" w:eastAsia="楷体_GB2312"/>
                <w:kern w:val="0"/>
              </w:rPr>
              <w:t>综合性</w:t>
            </w:r>
          </w:p>
        </w:tc>
        <w:tc>
          <w:tcPr>
            <w:tcW w:w="5541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_GB2312" w:hAnsi="楷体_GB2312" w:eastAsia="楷体_GB2312"/>
                <w:kern w:val="0"/>
              </w:rPr>
            </w:pPr>
            <w:r>
              <w:rPr>
                <w:rFonts w:hint="eastAsia" w:ascii="楷体_GB2312" w:hAnsi="楷体_GB2312" w:eastAsia="楷体_GB2312"/>
                <w:kern w:val="0"/>
              </w:rPr>
              <w:t>能综合运用教育学、心理学、学科教学的基本理论与方法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08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楷体_GB2312" w:eastAsia="楷体_GB2312"/>
                <w:kern w:val="0"/>
              </w:rPr>
            </w:pPr>
          </w:p>
        </w:tc>
        <w:tc>
          <w:tcPr>
            <w:tcW w:w="1104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规范性</w:t>
            </w:r>
          </w:p>
        </w:tc>
        <w:tc>
          <w:tcPr>
            <w:tcW w:w="5541" w:type="dxa"/>
            <w:noWrap w:val="0"/>
            <w:vAlign w:val="top"/>
          </w:tcPr>
          <w:p>
            <w:pPr>
              <w:spacing w:line="360" w:lineRule="auto"/>
              <w:rPr>
                <w:rFonts w:hint="eastAsia" w:ascii="楷体_GB2312" w:hAnsi="楷体_GB2312" w:eastAsia="楷体_GB2312"/>
              </w:rPr>
            </w:pPr>
            <w:r>
              <w:rPr>
                <w:rFonts w:hint="eastAsia" w:ascii="楷体_GB2312" w:hAnsi="楷体_GB2312" w:eastAsia="楷体_GB2312"/>
              </w:rPr>
              <w:t>图表、仪器等使用</w:t>
            </w:r>
            <w:r>
              <w:rPr>
                <w:rFonts w:hint="eastAsia" w:ascii="楷体_GB2312" w:hAnsi="楷体_GB2312" w:eastAsia="楷体_GB2312"/>
                <w:kern w:val="0"/>
              </w:rPr>
              <w:t>规范，与信息技术整合效果理想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ODkzMjdmOGRlYWU4MTkwMDUyYTQ5ODA3NThiYzQifQ=="/>
  </w:docVars>
  <w:rsids>
    <w:rsidRoot w:val="62821CAD"/>
    <w:rsid w:val="6282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2022-06-02T07:55:00Z</dcterms:created>
  <dc:creator>文档存本地丢失不负责</dc:creator>
  <cp:lastModifiedBy>文档存本地丢失不负责</cp:lastModifiedBy>
  <dcterms:modified xsi:type="dcterms:W3CDTF">2022-06-02T07:57:42Z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3BE98F6665074667BB8745DD08C075A5</vt:lpwstr>
  </property>
</Properties>
</file>